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sz w:val="18"/>
          <w:szCs w:val="18"/>
        </w:rPr>
      </w:pPr>
      <w:r w:rsidDel="00000000" w:rsidR="00000000" w:rsidRPr="00000000">
        <w:rPr>
          <w:rtl w:val="0"/>
        </w:rPr>
      </w:r>
    </w:p>
    <w:p w:rsidR="00000000" w:rsidDel="00000000" w:rsidP="00000000" w:rsidRDefault="00000000" w:rsidRPr="00000000" w14:paraId="00000002">
      <w:pPr>
        <w:jc w:val="right"/>
        <w:rPr>
          <w:sz w:val="18"/>
          <w:szCs w:val="18"/>
        </w:rPr>
      </w:pPr>
      <w:r w:rsidDel="00000000" w:rsidR="00000000" w:rsidRPr="00000000">
        <w:rPr>
          <w:sz w:val="18"/>
          <w:szCs w:val="18"/>
          <w:rtl w:val="0"/>
        </w:rPr>
        <w:t xml:space="preserve">Modulo 2)</w:t>
      </w:r>
    </w:p>
    <w:p w:rsidR="00000000" w:rsidDel="00000000" w:rsidP="00000000" w:rsidRDefault="00000000" w:rsidRPr="00000000" w14:paraId="00000003">
      <w:pPr>
        <w:widowControl w:val="1"/>
        <w:jc w:val="both"/>
        <w:rPr>
          <w:sz w:val="18"/>
          <w:szCs w:val="18"/>
        </w:rPr>
      </w:pPr>
      <w:r w:rsidDel="00000000" w:rsidR="00000000" w:rsidRPr="00000000">
        <w:rPr>
          <w:rtl w:val="0"/>
        </w:rPr>
      </w:r>
    </w:p>
    <w:p w:rsidR="00000000" w:rsidDel="00000000" w:rsidP="00000000" w:rsidRDefault="00000000" w:rsidRPr="00000000" w14:paraId="00000004">
      <w:pPr>
        <w:widowControl w:val="1"/>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widowControl w:val="1"/>
        <w:jc w:val="both"/>
        <w:rPr>
          <w:rFonts w:ascii="Calibri" w:cs="Calibri" w:eastAsia="Calibri" w:hAnsi="Calibri"/>
          <w:b w:val="1"/>
          <w:sz w:val="19"/>
          <w:szCs w:val="19"/>
        </w:rPr>
      </w:pPr>
      <w:r w:rsidDel="00000000" w:rsidR="00000000" w:rsidRPr="00000000">
        <w:rPr>
          <w:rFonts w:ascii="Calibri" w:cs="Calibri" w:eastAsia="Calibri" w:hAnsi="Calibri"/>
          <w:b w:val="1"/>
          <w:rtl w:val="0"/>
        </w:rPr>
        <w:t xml:space="preserve">INFORMATIVA SUL TRATTAMENTO DEI DATI PERSONALI NELLO SVOLGIMENTO DEI SERVIZI</w:t>
        <w:br w:type="textWrapping"/>
      </w:r>
      <w:r w:rsidDel="00000000" w:rsidR="00000000" w:rsidRPr="00000000">
        <w:rPr>
          <w:rFonts w:ascii="Calibri" w:cs="Calibri" w:eastAsia="Calibri" w:hAnsi="Calibri"/>
          <w:b w:val="1"/>
          <w:sz w:val="19"/>
          <w:szCs w:val="19"/>
          <w:rtl w:val="0"/>
        </w:rPr>
        <w:t xml:space="preserve">in applicazione degli artt. 13 e 14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w:t>
      </w:r>
    </w:p>
    <w:p w:rsidR="00000000" w:rsidDel="00000000" w:rsidP="00000000" w:rsidRDefault="00000000" w:rsidRPr="00000000" w14:paraId="00000006">
      <w:pPr>
        <w:widowControl w:val="1"/>
        <w:jc w:val="both"/>
        <w:rPr>
          <w:rFonts w:ascii="Calibri" w:cs="Calibri" w:eastAsia="Calibri" w:hAnsi="Calibri"/>
          <w:b w:val="1"/>
          <w:sz w:val="19"/>
          <w:szCs w:val="19"/>
        </w:rPr>
      </w:pPr>
      <w:r w:rsidDel="00000000" w:rsidR="00000000" w:rsidRPr="00000000">
        <w:rPr>
          <w:rtl w:val="0"/>
        </w:rPr>
      </w:r>
    </w:p>
    <w:p w:rsidR="00000000" w:rsidDel="00000000" w:rsidP="00000000" w:rsidRDefault="00000000" w:rsidRPr="00000000" w14:paraId="00000007">
      <w:pPr>
        <w:widowControl w:val="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LINFA - Azienda Speciale Camera di Commercio delle Marche, di seguito indicata per brevità anche come Linfa, desidera fornire le seguenti informazioni sulle modalità di trattamento dei dati personali raccolti.</w:t>
      </w:r>
    </w:p>
    <w:p w:rsidR="00000000" w:rsidDel="00000000" w:rsidP="00000000" w:rsidRDefault="00000000" w:rsidRPr="00000000" w14:paraId="00000008">
      <w:pPr>
        <w:widowControl w:val="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9">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Dati di contatto</w:t>
      </w:r>
    </w:p>
    <w:p w:rsidR="00000000" w:rsidDel="00000000" w:rsidP="00000000" w:rsidRDefault="00000000" w:rsidRPr="00000000" w14:paraId="0000000A">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Titolare del trattamento è LINFA- Azienda Speciale Camera di Commercio delle Marche, con sede legale in via Luigi Mercantini, 23/25 – 63100 Ascoli Piceno, P. Iva: 01873180440, recapiti tel: +39.0736.279219, email: </w:t>
      </w:r>
      <w:hyperlink r:id="rId8">
        <w:r w:rsidDel="00000000" w:rsidR="00000000" w:rsidRPr="00000000">
          <w:rPr>
            <w:rFonts w:ascii="Calibri" w:cs="Calibri" w:eastAsia="Calibri" w:hAnsi="Calibri"/>
            <w:color w:val="0000ff"/>
            <w:sz w:val="20"/>
            <w:szCs w:val="20"/>
            <w:u w:val="single"/>
            <w:rtl w:val="0"/>
          </w:rPr>
          <w:t xml:space="preserve">linfa@marche.camcom.it</w:t>
        </w:r>
      </w:hyperlink>
      <w:r w:rsidDel="00000000" w:rsidR="00000000" w:rsidRPr="00000000">
        <w:rPr>
          <w:rFonts w:ascii="Calibri" w:cs="Calibri" w:eastAsia="Calibri" w:hAnsi="Calibri"/>
          <w:sz w:val="20"/>
          <w:szCs w:val="20"/>
          <w:rtl w:val="0"/>
        </w:rPr>
        <w:t xml:space="preserve"> e email certificata: </w:t>
      </w:r>
      <w:hyperlink r:id="rId9">
        <w:r w:rsidDel="00000000" w:rsidR="00000000" w:rsidRPr="00000000">
          <w:rPr>
            <w:rFonts w:ascii="Calibri" w:cs="Calibri" w:eastAsia="Calibri" w:hAnsi="Calibri"/>
            <w:color w:val="0000ff"/>
            <w:sz w:val="20"/>
            <w:szCs w:val="20"/>
            <w:u w:val="single"/>
            <w:rtl w:val="0"/>
          </w:rPr>
          <w:t xml:space="preserve">linfa@pec.marche.camcom.it</w:t>
        </w:r>
      </w:hyperlink>
      <w:r w:rsidDel="00000000" w:rsidR="00000000" w:rsidRPr="00000000">
        <w:rPr>
          <w:rFonts w:ascii="Calibri" w:cs="Calibri" w:eastAsia="Calibri" w:hAnsi="Calibri"/>
          <w:color w:val="ff0000"/>
          <w:sz w:val="20"/>
          <w:szCs w:val="20"/>
          <w:highlight w:val="yellow"/>
          <w:u w:val="single"/>
          <w:rtl w:val="0"/>
        </w:rPr>
        <w:t xml:space="preserve"> </w:t>
      </w:r>
      <w:r w:rsidDel="00000000" w:rsidR="00000000" w:rsidRPr="00000000">
        <w:rPr>
          <w:rtl w:val="0"/>
        </w:rPr>
      </w:r>
    </w:p>
    <w:p w:rsidR="00000000" w:rsidDel="00000000" w:rsidP="00000000" w:rsidRDefault="00000000" w:rsidRPr="00000000" w14:paraId="0000000B">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LINFA ha provveduto a nominare il responsabile della protezione dei dati personali ai sensi dell’art. 37 del Reg. (EU) 2016/679, raggiungibile al seguente recapito di posta elettronica: </w:t>
      </w:r>
      <w:hyperlink r:id="rId10">
        <w:r w:rsidDel="00000000" w:rsidR="00000000" w:rsidRPr="00000000">
          <w:rPr>
            <w:rFonts w:ascii="Calibri" w:cs="Calibri" w:eastAsia="Calibri" w:hAnsi="Calibri"/>
            <w:color w:val="0000ff"/>
            <w:sz w:val="20"/>
            <w:szCs w:val="20"/>
            <w:u w:val="single"/>
            <w:rtl w:val="0"/>
          </w:rPr>
          <w:t xml:space="preserve">dpo.linfa@linfaaziendaspeciale.it</w:t>
        </w:r>
      </w:hyperlink>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0C">
      <w:pPr>
        <w:widowControl w:val="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D">
      <w:pPr>
        <w:widowControl w:val="1"/>
        <w:pBdr>
          <w:top w:color="000000" w:space="1" w:sz="4" w:val="single"/>
          <w:left w:color="000000" w:space="4" w:sz="4" w:val="single"/>
          <w:bottom w:color="000000" w:space="1" w:sz="4" w:val="single"/>
          <w:right w:color="000000" w:space="4" w:sz="4" w:val="single"/>
        </w:pBdr>
        <w:spacing w:line="259"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Base giuridica del trattamento</w:t>
      </w:r>
    </w:p>
    <w:p w:rsidR="00000000" w:rsidDel="00000000" w:rsidP="00000000" w:rsidRDefault="00000000" w:rsidRPr="00000000" w14:paraId="0000000E">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Nel perseguimento dei propri obiettivi, il Titolare tratta dati personali identificativi quali sono ad esempio nome e cognome, codice fiscale, p. iva, recapito email, numero telefonico, in seguito definiti brevemente come "dati", riferiti a:</w:t>
      </w:r>
    </w:p>
    <w:p w:rsidR="00000000" w:rsidDel="00000000" w:rsidP="00000000" w:rsidRDefault="00000000" w:rsidRPr="00000000" w14:paraId="0000000F">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 clienti (anche potenziali) di LINFA</w:t>
      </w:r>
      <w:r w:rsidDel="00000000" w:rsidR="00000000" w:rsidRPr="00000000">
        <w:rPr>
          <w:rFonts w:ascii="Calibri" w:cs="Calibri" w:eastAsia="Calibri" w:hAnsi="Calibri"/>
          <w:i w:val="1"/>
          <w:color w:val="ff0000"/>
          <w:sz w:val="20"/>
          <w:szCs w:val="20"/>
          <w:rtl w:val="0"/>
        </w:rPr>
        <w:t xml:space="preserve"> </w:t>
      </w:r>
      <w:r w:rsidDel="00000000" w:rsidR="00000000" w:rsidRPr="00000000">
        <w:rPr>
          <w:rFonts w:ascii="Calibri" w:cs="Calibri" w:eastAsia="Calibri" w:hAnsi="Calibri"/>
          <w:sz w:val="19"/>
          <w:szCs w:val="19"/>
          <w:rtl w:val="0"/>
        </w:rPr>
        <w:t xml:space="preserve">(se tali clienti (anche potenziali) sono persone fisiche);</w:t>
      </w:r>
    </w:p>
    <w:p w:rsidR="00000000" w:rsidDel="00000000" w:rsidP="00000000" w:rsidRDefault="00000000" w:rsidRPr="00000000" w14:paraId="00000010">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 dipendenti dei clienti (anche potenziali) di LINFA</w:t>
      </w:r>
    </w:p>
    <w:p w:rsidR="00000000" w:rsidDel="00000000" w:rsidP="00000000" w:rsidRDefault="00000000" w:rsidRPr="00000000" w14:paraId="00000011">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specificano a seguire scopo, base di liceità e durata per ciascun trattamento svolto dal Titolare.</w:t>
      </w:r>
    </w:p>
    <w:p w:rsidR="00000000" w:rsidDel="00000000" w:rsidP="00000000" w:rsidRDefault="00000000" w:rsidRPr="00000000" w14:paraId="00000012">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Titolare tratta i dati personali per adempiere agli obblighi precontrattuali, contrattuali e fiscali derivanti da rapporti in essere, base di liceità di questo trattamento è l’esecuzione di un contratto. La durata del trattamento avrà una durata pari a quella necessaria per l'esecuzione dei servizi richiesti, a cui andrà sommato l'ulteriore periodo normativamente previsto in ottemperanza agli obblighi di natura civilistica, fiscale e tributaria vigenti.</w:t>
      </w:r>
    </w:p>
    <w:p w:rsidR="00000000" w:rsidDel="00000000" w:rsidP="00000000" w:rsidRDefault="00000000" w:rsidRPr="00000000" w14:paraId="00000013">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Titolare tratta i dati personali per adempiere agli obblighi previsti dalla legge, da un regolamento, dalla normativa comunitaria o da un ordine dell'Autorità, la base di liceità di questo trattamento è assolvimento di un obbligo legale e il tempo di conservazione del dato è quello normativamente previsto in ottemperanza agli obblighi di natura civilistica, fiscale e tributaria vigenti.</w:t>
      </w:r>
    </w:p>
    <w:p w:rsidR="00000000" w:rsidDel="00000000" w:rsidP="00000000" w:rsidRDefault="00000000" w:rsidRPr="00000000" w14:paraId="00000014">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 l’esercizio dei diritti del Titolare, ad esempio il diritto di difesa in giudizio, la cui base di liceità è il legittimo interesse del Titolare, anche in questo caso il tempo di conservazione del dato è quello normativamente previsto in ottemperanza agli obblighi di natura civilistica, fiscale e tributaria vigenti.</w:t>
      </w:r>
    </w:p>
    <w:p w:rsidR="00000000" w:rsidDel="00000000" w:rsidP="00000000" w:rsidRDefault="00000000" w:rsidRPr="00000000" w14:paraId="00000015">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precisa che in caso di mancato conferimento dei dati personali, può non essere possibile eseguire il contratto tra il Titolare e l’interessato.</w:t>
      </w:r>
    </w:p>
    <w:p w:rsidR="00000000" w:rsidDel="00000000" w:rsidP="00000000" w:rsidRDefault="00000000" w:rsidRPr="00000000" w14:paraId="00000016">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Titolare ha facoltà di utilizzare a fini di promozione di servizi analoghi a quelli già fruiti le coordinate di posta elettronica fornite dall'interessato, pur non richiedendo il consenso dell'interessato; l'interessato, adeguatamente informato dalla presente informativa, può rifiutare tale uso del suo indirizzo email in maniera agevole e gratuitamente, inizialmente o in occasione di successive comunicazioni, tramite l’opzione di cancellazione sempre riportata nelle comunicazioni elettroniche.</w:t>
      </w:r>
    </w:p>
    <w:p w:rsidR="00000000" w:rsidDel="00000000" w:rsidP="00000000" w:rsidRDefault="00000000" w:rsidRPr="00000000" w14:paraId="00000017">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Qualora non si instauri alcun contratto, sulla base giuridica dello specifico e distinto consenso (art. 7 GDPR) dell’interessato, facoltativo e revocabile in qualsiasi momento, il trattamento è svolto per le seguenti ulteriori finalità:</w:t>
      </w:r>
    </w:p>
    <w:p w:rsidR="00000000" w:rsidDel="00000000" w:rsidP="00000000" w:rsidRDefault="00000000" w:rsidRPr="00000000" w14:paraId="00000018">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inserimento in mailing list per la fruizione di servizi di newsletter verso cui l’interessato manifesta il proprio intessere, le quali potranno contenere anche informazioni di natura commerciale e promozionale, relative all’attività del Titolare.</w:t>
      </w:r>
    </w:p>
    <w:p w:rsidR="00000000" w:rsidDel="00000000" w:rsidP="00000000" w:rsidRDefault="00000000" w:rsidRPr="00000000" w14:paraId="00000019">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 trattamento dei dati è realizzato per mezzo delle operazioni di: raccolta, registrazione, organizzazione, conservazione, consultazione, elaborazione, modificazione, selezione, estrazione, raffronto, utilizzo, interconnessione, blocco, comunicazione, cancellazione e distruzione dei dati.</w:t>
      </w:r>
    </w:p>
    <w:p w:rsidR="00000000" w:rsidDel="00000000" w:rsidP="00000000" w:rsidRDefault="00000000" w:rsidRPr="00000000" w14:paraId="0000001A">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dati sono sottoposti a trattamento sia cartaceo che elettronico e/o automatizzato.</w:t>
      </w:r>
    </w:p>
    <w:p w:rsidR="00000000" w:rsidDel="00000000" w:rsidP="00000000" w:rsidRDefault="00000000" w:rsidRPr="00000000" w14:paraId="0000001B">
      <w:pPr>
        <w:widowControl w:val="1"/>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C">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Destinatari o le categorie di destinatari dei dati</w:t>
      </w:r>
    </w:p>
    <w:p w:rsidR="00000000" w:rsidDel="00000000" w:rsidP="00000000" w:rsidRDefault="00000000" w:rsidRPr="00000000" w14:paraId="0000001D">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dati potranno essere comunicati a soggetti operanti in qualità di titolari del trattamento, quali a titolo esemplificativo, autorità di vigilanza e controllo ed ogni soggetto pubblico legittimato, come l'autorità giudiziaria e/o di pubblica sicurezza.</w:t>
      </w:r>
    </w:p>
    <w:p w:rsidR="00000000" w:rsidDel="00000000" w:rsidP="00000000" w:rsidRDefault="00000000" w:rsidRPr="00000000" w14:paraId="0000001E">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dati potranno inoltre essere comunicati e trattati, per conto del titolare, da soggetti designati come responsabili del trattamento, quali a titolo esemplificativo, professionisti e società che svolgono servizi analoghi a quelli del Titolare, servizi informatici, servizi di consulenza tributaria e fiscale, di consulenza legale.</w:t>
      </w:r>
    </w:p>
    <w:p w:rsidR="00000000" w:rsidDel="00000000" w:rsidP="00000000" w:rsidRDefault="00000000" w:rsidRPr="00000000" w14:paraId="0000001F">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Detti soggetti tratteranno i dati nella loro qualità di autonomi titolari del trattamento o responsabili esterni, senza che possano diffonderli.</w:t>
      </w:r>
    </w:p>
    <w:p w:rsidR="00000000" w:rsidDel="00000000" w:rsidP="00000000" w:rsidRDefault="00000000" w:rsidRPr="00000000" w14:paraId="00000020">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L’elenco completo dei soggetti designati come responsabili esterni è custodito dal Titolare.</w:t>
      </w:r>
    </w:p>
    <w:p w:rsidR="00000000" w:rsidDel="00000000" w:rsidP="00000000" w:rsidRDefault="00000000" w:rsidRPr="00000000" w14:paraId="00000021">
      <w:pPr>
        <w:widowControl w:val="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2">
      <w:pPr>
        <w:widowControl w:val="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3">
      <w:pPr>
        <w:widowControl w:val="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4">
      <w:pPr>
        <w:widowControl w:val="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5">
      <w:pPr>
        <w:widowControl w:val="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6">
      <w:pPr>
        <w:widowControl w:val="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7">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Trasferimento dati a paesi terzi</w:t>
      </w:r>
    </w:p>
    <w:p w:rsidR="00000000" w:rsidDel="00000000" w:rsidP="00000000" w:rsidRDefault="00000000" w:rsidRPr="00000000" w14:paraId="00000028">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Titolare si riserva la possibilità di utilizzare servizi in cloud e in tal caso i fornitori dei servizi saranno selezionati tra coloro che forniscono garanzie adeguate, così come previsto dall’art.46 GDPR 2016/679.</w:t>
      </w:r>
    </w:p>
    <w:p w:rsidR="00000000" w:rsidDel="00000000" w:rsidP="00000000" w:rsidRDefault="00000000" w:rsidRPr="00000000" w14:paraId="00000029">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Nella prosecuzione degli obiettivi di LINFA, volti all’internazionalizzazione delle imprese italiane, sono possibili trasferimenti di dati personali in territorio extra-UE, ad esempio per la promozione e organizzazione di eventi e manifestazioni e per la creazione di contatti con controparti estere.</w:t>
      </w:r>
    </w:p>
    <w:p w:rsidR="00000000" w:rsidDel="00000000" w:rsidP="00000000" w:rsidRDefault="00000000" w:rsidRPr="00000000" w14:paraId="0000002A">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trasferimento avviene a condizione di soddisfare almeno una delle condizioni seguenti:</w:t>
      </w:r>
    </w:p>
    <w:p w:rsidR="00000000" w:rsidDel="00000000" w:rsidP="00000000" w:rsidRDefault="00000000" w:rsidRPr="00000000" w14:paraId="0000002B">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è garantito un livello adeguato di protezione mediante una decisione di adeguatezza della Commissione (articolo 45, paragrafo 3, del GDPR);</w:t>
      </w:r>
    </w:p>
    <w:p w:rsidR="00000000" w:rsidDel="00000000" w:rsidP="00000000" w:rsidRDefault="00000000" w:rsidRPr="00000000" w14:paraId="0000002C">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è stato siglato un accordo con clausole standard sulla protezione dei dati (articolo 46, paragrafo 2, lettere c) d) d) GDPR)</w:t>
      </w:r>
    </w:p>
    <w:p w:rsidR="00000000" w:rsidDel="00000000" w:rsidP="00000000" w:rsidRDefault="00000000" w:rsidRPr="00000000" w14:paraId="0000002D">
      <w:pPr>
        <w:widowControl w:val="1"/>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E">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Diritti dell'interessato</w:t>
      </w:r>
    </w:p>
    <w:p w:rsidR="00000000" w:rsidDel="00000000" w:rsidP="00000000" w:rsidRDefault="00000000" w:rsidRPr="00000000" w14:paraId="0000002F">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L'interessato gode dei diritti di cui all'art. 15 GDPR e precisamente i diritti di: chiedere l’accesso ai dati che riguardano l’interessato, la loro cancellazione, la rettifica dei dati inesatti, l’integrazione dei dati incompleti, la limitazione del trattamento, la portabilità nonché l’opposizione al trattamento nelle ipotesi di legittimo interesse del Titolare.</w:t>
      </w:r>
    </w:p>
    <w:p w:rsidR="00000000" w:rsidDel="00000000" w:rsidP="00000000" w:rsidRDefault="00000000" w:rsidRPr="00000000" w14:paraId="00000030">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 il diritto di proporre reclamo all'Autorità di controllo competente nello Stato membro in cui risiede abitualmente o lavora o dello Stato in cui si è verificata la presunta violazione.</w:t>
      </w:r>
    </w:p>
    <w:p w:rsidR="00000000" w:rsidDel="00000000" w:rsidP="00000000" w:rsidRDefault="00000000" w:rsidRPr="00000000" w14:paraId="00000031">
      <w:pPr>
        <w:widowControl w:val="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2">
      <w:pPr>
        <w:widowControl w:val="1"/>
        <w:spacing w:line="259" w:lineRule="auto"/>
        <w:rPr>
          <w:rFonts w:ascii="Calibri" w:cs="Calibri" w:eastAsia="Calibri" w:hAnsi="Calibri"/>
          <w:sz w:val="20"/>
          <w:szCs w:val="20"/>
        </w:rPr>
      </w:pPr>
      <w:r w:rsidDel="00000000" w:rsidR="00000000" w:rsidRPr="00000000">
        <w:rPr>
          <w:rFonts w:ascii="Calibri" w:cs="Calibri" w:eastAsia="Calibri" w:hAnsi="Calibri"/>
          <w:sz w:val="32"/>
          <w:szCs w:val="32"/>
          <w:rtl w:val="0"/>
        </w:rPr>
        <w:t xml:space="preserve">□</w:t>
      </w:r>
      <w:r w:rsidDel="00000000" w:rsidR="00000000" w:rsidRPr="00000000">
        <w:rPr>
          <w:rFonts w:ascii="Calibri" w:cs="Calibri" w:eastAsia="Calibri" w:hAnsi="Calibri"/>
          <w:sz w:val="20"/>
          <w:szCs w:val="20"/>
          <w:rtl w:val="0"/>
        </w:rPr>
        <w:t xml:space="preserve"> L’interessato ha preso visione della presente informativa sul trattamento dei suoi dati personali.</w:t>
      </w:r>
    </w:p>
    <w:p w:rsidR="00000000" w:rsidDel="00000000" w:rsidP="00000000" w:rsidRDefault="00000000" w:rsidRPr="00000000" w14:paraId="00000033">
      <w:pPr>
        <w:widowControl w:val="1"/>
        <w:spacing w:line="259" w:lineRule="auto"/>
        <w:rPr>
          <w:rFonts w:ascii="Calibri" w:cs="Calibri" w:eastAsia="Calibri" w:hAnsi="Calibri"/>
          <w:sz w:val="20"/>
          <w:szCs w:val="20"/>
        </w:rPr>
      </w:pPr>
      <w:bookmarkStart w:colFirst="0" w:colLast="0" w:name="_heading=h.1fob9te" w:id="0"/>
      <w:bookmarkEnd w:id="0"/>
      <w:r w:rsidDel="00000000" w:rsidR="00000000" w:rsidRPr="00000000">
        <w:rPr>
          <w:rtl w:val="0"/>
        </w:rPr>
      </w:r>
    </w:p>
    <w:p w:rsidR="00000000" w:rsidDel="00000000" w:rsidP="00000000" w:rsidRDefault="00000000" w:rsidRPr="00000000" w14:paraId="00000034">
      <w:pPr>
        <w:widowControl w:val="1"/>
        <w:pBdr>
          <w:top w:color="000000" w:space="1" w:sz="4" w:val="single"/>
          <w:left w:color="000000" w:space="4" w:sz="4" w:val="single"/>
          <w:bottom w:color="000000" w:space="1" w:sz="4" w:val="single"/>
          <w:right w:color="000000" w:space="4" w:sz="4" w:val="single"/>
        </w:pBdr>
        <w:spacing w:line="259"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Manifestazione del consenso (art. 7 Regolamento UE nr. 679/2016)</w:t>
      </w:r>
    </w:p>
    <w:p w:rsidR="00000000" w:rsidDel="00000000" w:rsidP="00000000" w:rsidRDefault="00000000" w:rsidRPr="00000000" w14:paraId="00000035">
      <w:pPr>
        <w:widowControl w:val="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6">
      <w:pPr>
        <w:widowControl w:val="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riferimento alla pubblicazione e/o diffusione in qualsiasi forma delle proprie immagini acquisite dall’organizzatore nell’ambito dell’evento per il quale viene sottoscritta questa liberatoria, pubblicazione che potrà avvenire sul sito internet o sui profili social di LINFA, su carta stampata e/o su qualsiasi altro mezzo di diffusione, per finalità di carattere meramente informativo ed eventualmente promozionale, senza scopo di lucro e senza limiti di tempo, anche ai sensi degli artt. 10 e 320 cod. civ. e degli artt. 96 e 97 legge 22.4.1941, n. 633, Legge sul diritto d’autore, nonché alla conservazione delle foto e dei video stessi negli archivi informatici di LINFA, a titolo gratuito:</w:t>
      </w:r>
    </w:p>
    <w:p w:rsidR="00000000" w:rsidDel="00000000" w:rsidP="00000000" w:rsidRDefault="00000000" w:rsidRPr="00000000" w14:paraId="00000037">
      <w:pPr>
        <w:widowControl w:val="1"/>
        <w:jc w:val="both"/>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38">
      <w:pPr>
        <w:widowControl w:val="1"/>
        <w:jc w:val="both"/>
        <w:rPr>
          <w:rFonts w:ascii="Calibri" w:cs="Calibri" w:eastAsia="Calibri" w:hAnsi="Calibri"/>
          <w:sz w:val="20"/>
          <w:szCs w:val="20"/>
        </w:rPr>
      </w:pPr>
      <w:r w:rsidDel="00000000" w:rsidR="00000000" w:rsidRPr="00000000">
        <w:rPr>
          <w:rFonts w:ascii="Calibri" w:cs="Calibri" w:eastAsia="Calibri" w:hAnsi="Calibri"/>
          <w:sz w:val="32"/>
          <w:szCs w:val="32"/>
          <w:rtl w:val="0"/>
        </w:rPr>
        <w:t xml:space="preserve">□</w:t>
      </w:r>
      <w:r w:rsidDel="00000000" w:rsidR="00000000" w:rsidRPr="00000000">
        <w:rPr>
          <w:rFonts w:ascii="Calibri" w:cs="Calibri" w:eastAsia="Calibri" w:hAnsi="Calibri"/>
          <w:sz w:val="20"/>
          <w:szCs w:val="20"/>
          <w:rtl w:val="0"/>
        </w:rPr>
        <w:t xml:space="preserve"> do il consenso</w:t>
        <w:tab/>
        <w:tab/>
        <w:tab/>
      </w:r>
      <w:r w:rsidDel="00000000" w:rsidR="00000000" w:rsidRPr="00000000">
        <w:rPr>
          <w:rFonts w:ascii="Calibri" w:cs="Calibri" w:eastAsia="Calibri" w:hAnsi="Calibri"/>
          <w:sz w:val="32"/>
          <w:szCs w:val="32"/>
          <w:rtl w:val="0"/>
        </w:rPr>
        <w:t xml:space="preserve">□</w:t>
      </w:r>
      <w:r w:rsidDel="00000000" w:rsidR="00000000" w:rsidRPr="00000000">
        <w:rPr>
          <w:rFonts w:ascii="Calibri" w:cs="Calibri" w:eastAsia="Calibri" w:hAnsi="Calibri"/>
          <w:sz w:val="20"/>
          <w:szCs w:val="20"/>
          <w:rtl w:val="0"/>
        </w:rPr>
        <w:t xml:space="preserve"> nego il consenso</w:t>
      </w:r>
    </w:p>
    <w:p w:rsidR="00000000" w:rsidDel="00000000" w:rsidP="00000000" w:rsidRDefault="00000000" w:rsidRPr="00000000" w14:paraId="00000039">
      <w:pPr>
        <w:widowControl w:val="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A">
      <w:pPr>
        <w:widowControl w:val="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riferimento all’inserimento in mailing list per la fruizione di servizi di newsletter:</w:t>
      </w:r>
    </w:p>
    <w:p w:rsidR="00000000" w:rsidDel="00000000" w:rsidP="00000000" w:rsidRDefault="00000000" w:rsidRPr="00000000" w14:paraId="0000003B">
      <w:pPr>
        <w:widowControl w:val="1"/>
        <w:jc w:val="both"/>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3C">
      <w:pPr>
        <w:widowControl w:val="1"/>
        <w:jc w:val="both"/>
        <w:rPr>
          <w:rFonts w:ascii="Calibri" w:cs="Calibri" w:eastAsia="Calibri" w:hAnsi="Calibri"/>
          <w:sz w:val="20"/>
          <w:szCs w:val="20"/>
        </w:rPr>
      </w:pPr>
      <w:r w:rsidDel="00000000" w:rsidR="00000000" w:rsidRPr="00000000">
        <w:rPr>
          <w:rFonts w:ascii="Calibri" w:cs="Calibri" w:eastAsia="Calibri" w:hAnsi="Calibri"/>
          <w:sz w:val="32"/>
          <w:szCs w:val="32"/>
          <w:rtl w:val="0"/>
        </w:rPr>
        <w:t xml:space="preserve">□</w:t>
      </w:r>
      <w:r w:rsidDel="00000000" w:rsidR="00000000" w:rsidRPr="00000000">
        <w:rPr>
          <w:rFonts w:ascii="Calibri" w:cs="Calibri" w:eastAsia="Calibri" w:hAnsi="Calibri"/>
          <w:sz w:val="20"/>
          <w:szCs w:val="20"/>
          <w:rtl w:val="0"/>
        </w:rPr>
        <w:t xml:space="preserve"> do il consenso</w:t>
        <w:tab/>
        <w:tab/>
        <w:tab/>
      </w:r>
      <w:r w:rsidDel="00000000" w:rsidR="00000000" w:rsidRPr="00000000">
        <w:rPr>
          <w:rFonts w:ascii="Calibri" w:cs="Calibri" w:eastAsia="Calibri" w:hAnsi="Calibri"/>
          <w:sz w:val="32"/>
          <w:szCs w:val="32"/>
          <w:rtl w:val="0"/>
        </w:rPr>
        <w:t xml:space="preserve">□</w:t>
      </w:r>
      <w:r w:rsidDel="00000000" w:rsidR="00000000" w:rsidRPr="00000000">
        <w:rPr>
          <w:rFonts w:ascii="Calibri" w:cs="Calibri" w:eastAsia="Calibri" w:hAnsi="Calibri"/>
          <w:sz w:val="20"/>
          <w:szCs w:val="20"/>
          <w:rtl w:val="0"/>
        </w:rPr>
        <w:t xml:space="preserve"> nego il consenso</w:t>
      </w:r>
    </w:p>
    <w:p w:rsidR="00000000" w:rsidDel="00000000" w:rsidP="00000000" w:rsidRDefault="00000000" w:rsidRPr="00000000" w14:paraId="0000003D">
      <w:pPr>
        <w:widowControl w:val="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E">
      <w:pPr>
        <w:widowControl w:val="1"/>
        <w:jc w:val="both"/>
        <w:rPr>
          <w:rFonts w:ascii="Calibri" w:cs="Calibri" w:eastAsia="Calibri" w:hAnsi="Calibri"/>
          <w:sz w:val="20"/>
          <w:szCs w:val="20"/>
        </w:rPr>
      </w:pPr>
      <w:r w:rsidDel="00000000" w:rsidR="00000000" w:rsidRPr="00000000">
        <w:rPr>
          <w:rtl w:val="0"/>
        </w:rPr>
      </w:r>
    </w:p>
    <w:tbl>
      <w:tblPr>
        <w:tblStyle w:val="Table1"/>
        <w:tblW w:w="9962.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981"/>
        <w:gridCol w:w="4981"/>
        <w:tblGridChange w:id="0">
          <w:tblGrid>
            <w:gridCol w:w="4981"/>
            <w:gridCol w:w="4981"/>
          </w:tblGrid>
        </w:tblGridChange>
      </w:tblGrid>
      <w:tr>
        <w:trPr>
          <w:cantSplit w:val="0"/>
          <w:tblHeader w:val="0"/>
        </w:trPr>
        <w:tc>
          <w:tcPr/>
          <w:p w:rsidR="00000000" w:rsidDel="00000000" w:rsidP="00000000" w:rsidRDefault="00000000" w:rsidRPr="00000000" w14:paraId="0000003F">
            <w:pPr>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0">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l’interessato</w:t>
            </w:r>
          </w:p>
          <w:p w:rsidR="00000000" w:rsidDel="00000000" w:rsidP="00000000" w:rsidRDefault="00000000" w:rsidRPr="00000000" w14:paraId="00000041">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(indicare NOME E COGNOME in stampatello)</w:t>
            </w:r>
          </w:p>
          <w:p w:rsidR="00000000" w:rsidDel="00000000" w:rsidP="00000000" w:rsidRDefault="00000000" w:rsidRPr="00000000" w14:paraId="00000042">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3">
            <w:pPr>
              <w:jc w:val="center"/>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4">
            <w:pPr>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5">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46">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7">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Firma</w:t>
            </w:r>
          </w:p>
          <w:p w:rsidR="00000000" w:rsidDel="00000000" w:rsidP="00000000" w:rsidRDefault="00000000" w:rsidRPr="00000000" w14:paraId="00000048">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49">
      <w:pPr>
        <w:pBdr>
          <w:top w:space="0" w:sz="0" w:val="nil"/>
          <w:left w:space="0" w:sz="0" w:val="nil"/>
          <w:bottom w:space="0" w:sz="0" w:val="nil"/>
          <w:right w:space="0" w:sz="0" w:val="nil"/>
          <w:between w:space="0" w:sz="0" w:val="nil"/>
        </w:pBdr>
        <w:ind w:right="109"/>
        <w:rPr>
          <w:rFonts w:ascii="Helvetica Neue" w:cs="Helvetica Neue" w:eastAsia="Helvetica Neue" w:hAnsi="Helvetica Neue"/>
          <w:color w:val="000000"/>
          <w:sz w:val="16"/>
          <w:szCs w:val="16"/>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ind w:right="109"/>
        <w:rPr>
          <w:rFonts w:ascii="Helvetica Neue" w:cs="Helvetica Neue" w:eastAsia="Helvetica Neue" w:hAnsi="Helvetica Neue"/>
          <w:color w:val="000000"/>
          <w:sz w:val="16"/>
          <w:szCs w:val="16"/>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ind w:right="109"/>
        <w:rPr>
          <w:rFonts w:ascii="Helvetica Neue" w:cs="Helvetica Neue" w:eastAsia="Helvetica Neue" w:hAnsi="Helvetica Neue"/>
          <w:color w:val="000000"/>
          <w:sz w:val="16"/>
          <w:szCs w:val="16"/>
        </w:rPr>
      </w:pP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ind w:right="109"/>
        <w:rPr>
          <w:rFonts w:ascii="Helvetica Neue" w:cs="Helvetica Neue" w:eastAsia="Helvetica Neue" w:hAnsi="Helvetica Neue"/>
          <w:color w:val="000000"/>
          <w:sz w:val="16"/>
          <w:szCs w:val="16"/>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ind w:right="109"/>
        <w:rPr>
          <w:rFonts w:ascii="Helvetica Neue" w:cs="Helvetica Neue" w:eastAsia="Helvetica Neue" w:hAnsi="Helvetica Neue"/>
          <w:color w:val="000000"/>
          <w:sz w:val="16"/>
          <w:szCs w:val="16"/>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ind w:right="109"/>
        <w:rPr>
          <w:rFonts w:ascii="Helvetica Neue" w:cs="Helvetica Neue" w:eastAsia="Helvetica Neue" w:hAnsi="Helvetica Neue"/>
          <w:color w:val="000000"/>
          <w:sz w:val="16"/>
          <w:szCs w:val="16"/>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ind w:right="109"/>
        <w:rPr>
          <w:rFonts w:ascii="Helvetica Neue" w:cs="Helvetica Neue" w:eastAsia="Helvetica Neue" w:hAnsi="Helvetica Neue"/>
          <w:color w:val="000000"/>
          <w:sz w:val="16"/>
          <w:szCs w:val="16"/>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ind w:right="109"/>
        <w:rPr>
          <w:rFonts w:ascii="Helvetica Neue" w:cs="Helvetica Neue" w:eastAsia="Helvetica Neue" w:hAnsi="Helvetica Neue"/>
          <w:color w:val="000000"/>
          <w:sz w:val="16"/>
          <w:szCs w:val="16"/>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ind w:right="109"/>
        <w:rPr>
          <w:rFonts w:ascii="Helvetica Neue" w:cs="Helvetica Neue" w:eastAsia="Helvetica Neue" w:hAnsi="Helvetica Neue"/>
          <w:color w:val="000000"/>
          <w:sz w:val="16"/>
          <w:szCs w:val="16"/>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ind w:right="109"/>
        <w:rPr>
          <w:rFonts w:ascii="Helvetica Neue" w:cs="Helvetica Neue" w:eastAsia="Helvetica Neue" w:hAnsi="Helvetica Neue"/>
          <w:color w:val="000000"/>
          <w:sz w:val="16"/>
          <w:szCs w:val="16"/>
        </w:rPr>
      </w:pPr>
      <w:r w:rsidDel="00000000" w:rsidR="00000000" w:rsidRPr="00000000">
        <w:rPr>
          <w:rtl w:val="0"/>
        </w:rPr>
      </w:r>
    </w:p>
    <w:p w:rsidR="00000000" w:rsidDel="00000000" w:rsidP="00000000" w:rsidRDefault="00000000" w:rsidRPr="00000000" w14:paraId="00000053">
      <w:pPr>
        <w:pBdr>
          <w:top w:color="000000" w:space="1" w:sz="4" w:val="single"/>
          <w:left w:color="000000" w:space="4" w:sz="4" w:val="single"/>
          <w:bottom w:color="000000" w:space="1" w:sz="4" w:val="single"/>
          <w:right w:color="000000" w:space="4" w:sz="4" w:val="single"/>
          <w:between w:space="0" w:sz="0" w:val="nil"/>
        </w:pBdr>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4">
      <w:pPr>
        <w:pBdr>
          <w:top w:color="000000" w:space="1" w:sz="4" w:val="single"/>
          <w:left w:color="000000" w:space="4" w:sz="4" w:val="single"/>
          <w:bottom w:color="000000" w:space="1" w:sz="4" w:val="single"/>
          <w:right w:color="000000" w:space="4" w:sz="4" w:val="single"/>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da inviare </w:t>
      </w:r>
      <w:r w:rsidDel="00000000" w:rsidR="00000000" w:rsidRPr="00000000">
        <w:rPr>
          <w:rFonts w:ascii="Arial" w:cs="Arial" w:eastAsia="Arial" w:hAnsi="Arial"/>
          <w:b w:val="1"/>
          <w:color w:val="000000"/>
          <w:sz w:val="20"/>
          <w:szCs w:val="20"/>
          <w:rtl w:val="0"/>
        </w:rPr>
        <w:t xml:space="preserve">ENTRO E NON OLTRE</w:t>
      </w:r>
      <w:r w:rsidDel="00000000" w:rsidR="00000000" w:rsidRPr="00000000">
        <w:rPr>
          <w:rFonts w:ascii="Arial" w:cs="Arial" w:eastAsia="Arial" w:hAnsi="Arial"/>
          <w:b w:val="1"/>
          <w:i w:val="1"/>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IL</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0"/>
          <w:szCs w:val="20"/>
          <w:rtl w:val="0"/>
        </w:rPr>
        <w:t xml:space="preserve">27 marzo 2024</w:t>
      </w:r>
      <w:r w:rsidDel="00000000" w:rsidR="00000000" w:rsidRPr="00000000">
        <w:rPr>
          <w:rtl w:val="0"/>
        </w:rPr>
      </w:r>
    </w:p>
    <w:p w:rsidR="00000000" w:rsidDel="00000000" w:rsidP="00000000" w:rsidRDefault="00000000" w:rsidRPr="00000000" w14:paraId="00000055">
      <w:pPr>
        <w:pBdr>
          <w:top w:color="000000" w:space="1" w:sz="4" w:val="single"/>
          <w:left w:color="000000" w:space="4" w:sz="4" w:val="single"/>
          <w:bottom w:color="000000" w:space="1" w:sz="4" w:val="single"/>
          <w:right w:color="000000" w:space="4" w:sz="4" w:val="single"/>
          <w:between w:space="0" w:sz="0" w:val="nil"/>
        </w:pBdr>
        <w:jc w:val="center"/>
        <w:rPr>
          <w:rFonts w:ascii="Arial" w:cs="Arial" w:eastAsia="Arial" w:hAnsi="Arial"/>
          <w:b w:val="1"/>
          <w:color w:val="000000"/>
          <w:sz w:val="20"/>
          <w:szCs w:val="20"/>
        </w:rPr>
      </w:pPr>
      <w:bookmarkStart w:colFirst="0" w:colLast="0" w:name="_heading=h.3znysh7" w:id="1"/>
      <w:bookmarkEnd w:id="1"/>
      <w:r w:rsidDel="00000000" w:rsidR="00000000" w:rsidRPr="00000000">
        <w:rPr>
          <w:rFonts w:ascii="Arial" w:cs="Arial" w:eastAsia="Arial" w:hAnsi="Arial"/>
          <w:color w:val="000000"/>
          <w:sz w:val="20"/>
          <w:szCs w:val="20"/>
          <w:rtl w:val="0"/>
        </w:rPr>
        <w:t xml:space="preserve">tramite PEC all’indirizzo </w:t>
      </w:r>
      <w:hyperlink r:id="rId11">
        <w:r w:rsidDel="00000000" w:rsidR="00000000" w:rsidRPr="00000000">
          <w:rPr>
            <w:rFonts w:ascii="Calibri" w:cs="Calibri" w:eastAsia="Calibri" w:hAnsi="Calibri"/>
            <w:color w:val="0000ff"/>
            <w:sz w:val="20"/>
            <w:szCs w:val="20"/>
            <w:u w:val="single"/>
            <w:rtl w:val="0"/>
          </w:rPr>
          <w:t xml:space="preserve">linfa@pec.marche.camcom.it</w:t>
        </w:r>
      </w:hyperlink>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e p.c. a </w:t>
      </w:r>
      <w:hyperlink r:id="rId12">
        <w:r w:rsidDel="00000000" w:rsidR="00000000" w:rsidRPr="00000000">
          <w:rPr>
            <w:rFonts w:ascii="Calibri" w:cs="Calibri" w:eastAsia="Calibri" w:hAnsi="Calibri"/>
            <w:color w:val="0000ff"/>
            <w:sz w:val="20"/>
            <w:szCs w:val="20"/>
            <w:u w:val="single"/>
            <w:rtl w:val="0"/>
          </w:rPr>
          <w:t xml:space="preserve">giocondo.recchi@marche.camcom.it</w:t>
        </w:r>
      </w:hyperlink>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56">
      <w:pPr>
        <w:pBdr>
          <w:top w:color="000000" w:space="1" w:sz="4" w:val="single"/>
          <w:left w:color="000000" w:space="4" w:sz="4" w:val="single"/>
          <w:bottom w:color="000000" w:space="1" w:sz="4" w:val="single"/>
          <w:right w:color="000000" w:space="4" w:sz="4" w:val="single"/>
          <w:between w:space="0" w:sz="0" w:val="nil"/>
        </w:pBdr>
        <w:jc w:val="center"/>
        <w:rPr>
          <w:rFonts w:ascii="Arial" w:cs="Arial" w:eastAsia="Arial" w:hAnsi="Arial"/>
          <w:i w:val="1"/>
          <w:color w:val="000000"/>
          <w:sz w:val="18"/>
          <w:szCs w:val="18"/>
        </w:rPr>
      </w:pPr>
      <w:r w:rsidDel="00000000" w:rsidR="00000000" w:rsidRPr="00000000">
        <w:rPr>
          <w:rtl w:val="0"/>
        </w:rPr>
      </w:r>
    </w:p>
    <w:p w:rsidR="00000000" w:rsidDel="00000000" w:rsidP="00000000" w:rsidRDefault="00000000" w:rsidRPr="00000000" w14:paraId="00000057">
      <w:pPr>
        <w:widowControl w:val="1"/>
        <w:jc w:val="both"/>
        <w:rPr>
          <w:rFonts w:ascii="Calibri" w:cs="Calibri" w:eastAsia="Calibri" w:hAnsi="Calibri"/>
          <w:sz w:val="2"/>
          <w:szCs w:val="2"/>
        </w:rPr>
      </w:pPr>
      <w:r w:rsidDel="00000000" w:rsidR="00000000" w:rsidRPr="00000000">
        <w:rPr>
          <w:rtl w:val="0"/>
        </w:rPr>
      </w:r>
    </w:p>
    <w:sectPr>
      <w:headerReference r:id="rId13" w:type="default"/>
      <w:pgSz w:h="16840" w:w="11900" w:orient="portrait"/>
      <w:pgMar w:bottom="278" w:top="1134" w:left="601" w:right="703" w:header="34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Helvetica Neue">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pBdr>
        <w:top w:space="0" w:sz="0" w:val="nil"/>
        <w:left w:space="0" w:sz="0" w:val="nil"/>
        <w:bottom w:space="0" w:sz="0" w:val="nil"/>
        <w:right w:space="0" w:sz="0" w:val="nil"/>
        <w:between w:space="0" w:sz="0" w:val="nil"/>
      </w:pBdr>
      <w:spacing w:line="14.399999999999999" w:lineRule="auto"/>
      <w:rPr>
        <w:rFonts w:ascii="Helvetica Neue" w:cs="Helvetica Neue" w:eastAsia="Helvetica Neue" w:hAnsi="Helvetica Neue"/>
        <w:color w:val="000000"/>
        <w:sz w:val="20"/>
        <w:szCs w:val="20"/>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14.399999999999999" w:lineRule="auto"/>
      <w:rPr>
        <w:rFonts w:ascii="Helvetica Neue" w:cs="Helvetica Neue" w:eastAsia="Helvetica Neue" w:hAnsi="Helvetica Neue"/>
        <w:color w:val="000000"/>
        <w:sz w:val="20"/>
        <w:szCs w:val="20"/>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14.399999999999999" w:lineRule="auto"/>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jjjj</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-215899</wp:posOffset>
              </wp:positionH>
              <wp:positionV relativeFrom="paragraph">
                <wp:posOffset>-76199</wp:posOffset>
              </wp:positionV>
              <wp:extent cx="5724525" cy="581025"/>
              <wp:effectExtent b="0" l="0" r="0" t="0"/>
              <wp:wrapNone/>
              <wp:docPr id="219" name=""/>
              <a:graphic>
                <a:graphicData uri="http://schemas.microsoft.com/office/word/2010/wordprocessingGroup">
                  <wpg:wgp>
                    <wpg:cNvGrpSpPr/>
                    <wpg:grpSpPr>
                      <a:xfrm>
                        <a:off x="2474200" y="3479950"/>
                        <a:ext cx="5724525" cy="581025"/>
                        <a:chOff x="2474200" y="3479950"/>
                        <a:chExt cx="5734075" cy="600100"/>
                      </a:xfrm>
                    </wpg:grpSpPr>
                    <wpg:grpSp>
                      <wpg:cNvGrpSpPr/>
                      <wpg:grpSpPr>
                        <a:xfrm>
                          <a:off x="2483738" y="3489488"/>
                          <a:ext cx="5724525" cy="581025"/>
                          <a:chOff x="0" y="0"/>
                          <a:chExt cx="6978015" cy="781050"/>
                        </a:xfrm>
                      </wpg:grpSpPr>
                      <wps:wsp>
                        <wps:cNvSpPr/>
                        <wps:cNvPr id="3" name="Shape 3"/>
                        <wps:spPr>
                          <a:xfrm>
                            <a:off x="0" y="0"/>
                            <a:ext cx="6978000" cy="781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2">
                            <a:alphaModFix/>
                          </a:blip>
                          <a:srcRect b="0" l="0" r="0" t="0"/>
                          <a:stretch/>
                        </pic:blipFill>
                        <pic:spPr>
                          <a:xfrm>
                            <a:off x="0" y="0"/>
                            <a:ext cx="5212080" cy="781050"/>
                          </a:xfrm>
                          <a:prstGeom prst="rect">
                            <a:avLst/>
                          </a:prstGeom>
                          <a:noFill/>
                          <a:ln cap="flat" cmpd="sng" w="9525">
                            <a:solidFill>
                              <a:srgbClr val="FFFFFF"/>
                            </a:solidFill>
                            <a:prstDash val="solid"/>
                            <a:round/>
                            <a:headEnd len="sm" w="sm" type="none"/>
                            <a:tailEnd len="sm" w="sm" type="none"/>
                          </a:ln>
                        </pic:spPr>
                      </pic:pic>
                      <pic:pic>
                        <pic:nvPicPr>
                          <pic:cNvPr descr="https://symbola.net/wp-content/uploads/2019/06/camera-commercio-marche-XL.png" id="5" name="Shape 5"/>
                          <pic:cNvPicPr preferRelativeResize="0"/>
                        </pic:nvPicPr>
                        <pic:blipFill rotWithShape="1">
                          <a:blip r:embed="rId3">
                            <a:alphaModFix/>
                          </a:blip>
                          <a:srcRect b="30851" l="-1" r="-2659" t="30319"/>
                          <a:stretch/>
                        </pic:blipFill>
                        <pic:spPr>
                          <a:xfrm>
                            <a:off x="5467350" y="123825"/>
                            <a:ext cx="1510665" cy="571500"/>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column">
                <wp:posOffset>-215899</wp:posOffset>
              </wp:positionH>
              <wp:positionV relativeFrom="paragraph">
                <wp:posOffset>-76199</wp:posOffset>
              </wp:positionV>
              <wp:extent cx="5724525" cy="581025"/>
              <wp:effectExtent b="0" l="0" r="0" t="0"/>
              <wp:wrapNone/>
              <wp:docPr id="219" name="image3.png"/>
              <a:graphic>
                <a:graphicData uri="http://schemas.openxmlformats.org/drawingml/2006/picture">
                  <pic:pic>
                    <pic:nvPicPr>
                      <pic:cNvPr id="0" name="image3.png"/>
                      <pic:cNvPicPr preferRelativeResize="0"/>
                    </pic:nvPicPr>
                    <pic:blipFill>
                      <a:blip r:embed="rId4"/>
                      <a:srcRect/>
                      <a:stretch>
                        <a:fillRect/>
                      </a:stretch>
                    </pic:blipFill>
                    <pic:spPr>
                      <a:xfrm>
                        <a:off x="0" y="0"/>
                        <a:ext cx="5724525" cy="581025"/>
                      </a:xfrm>
                      <a:prstGeom prst="rect"/>
                      <a:ln/>
                    </pic:spPr>
                  </pic:pic>
                </a:graphicData>
              </a:graphic>
            </wp:anchor>
          </w:drawing>
        </mc:Fallback>
      </mc:AlternateConten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14.399999999999999" w:lineRule="auto"/>
      <w:rPr>
        <w:rFonts w:ascii="Helvetica Neue" w:cs="Helvetica Neue" w:eastAsia="Helvetica Neue" w:hAnsi="Helvetica Neue"/>
        <w:color w:val="000000"/>
        <w:sz w:val="20"/>
        <w:szCs w:val="2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14.399999999999999" w:lineRule="auto"/>
      <w:rPr>
        <w:rFonts w:ascii="Helvetica Neue" w:cs="Helvetica Neue" w:eastAsia="Helvetica Neue" w:hAnsi="Helvetica Neue"/>
        <w:color w:val="000000"/>
        <w:sz w:val="20"/>
        <w:szCs w:val="20"/>
      </w:rPr>
    </w:pPr>
    <w:r w:rsidDel="00000000" w:rsidR="00000000" w:rsidRPr="00000000">
      <w:rPr>
        <w:rtl w:val="0"/>
      </w:rPr>
    </w:r>
    <w:r w:rsidDel="00000000" w:rsidR="00000000" w:rsidRPr="00000000">
      <mc:AlternateContent>
        <mc:Choice Requires="wps">
          <w:drawing>
            <wp:anchor allowOverlap="1" behindDoc="0" distB="45720" distT="45720" distL="114300" distR="114300" hidden="0" layoutInCell="1" locked="0" relativeHeight="0" simplePos="0">
              <wp:simplePos x="0" y="0"/>
              <wp:positionH relativeFrom="column">
                <wp:posOffset>5838825</wp:posOffset>
              </wp:positionH>
              <wp:positionV relativeFrom="paragraph">
                <wp:posOffset>104140</wp:posOffset>
              </wp:positionV>
              <wp:extent cx="784225" cy="265430"/>
              <wp:wrapSquare wrapText="bothSides" distB="45720" distT="45720" distL="114300" distR="114300"/>
              <wp:docPr id="218" name=""/>
              <a:graphic>
                <a:graphicData uri="http://schemas.microsoft.com/office/word/2010/wordprocessingShape">
                  <wps:wsp>
                    <wps:cNvSpPr txBox="1">
                      <a:spLocks noChangeArrowheads="1"/>
                    </wps:cNvSpPr>
                    <wps:spPr bwMode="auto">
                      <a:xfrm>
                        <a:off x="0" y="0"/>
                        <a:ext cx="784225" cy="265430"/>
                      </a:xfrm>
                      <a:prstGeom prst="rect">
                        <a:avLst/>
                      </a:prstGeom>
                      <a:solidFill>
                        <a:srgbClr val="FFFFFF"/>
                      </a:solidFill>
                      <a:ln w="9525">
                        <a:solidFill>
                          <a:srgbClr val="000000"/>
                        </a:solidFill>
                        <a:miter lim="800000"/>
                        <a:headEnd/>
                        <a:tailEnd/>
                      </a:ln>
                    </wps:spPr>
                    <wps:txbx>
                      <w:txbxContent>
                        <w:p w:rsidR="007A58E6" w:rsidDel="00000000" w:rsidP="007A58E6" w:rsidRDefault="00761A82" w:rsidRPr="00461824" w14:paraId="7C73122C" w14:textId="376F565D">
                          <w:pPr>
                            <w:rPr>
                              <w:rFonts w:cs="Calibri"/>
                              <w:sz w:val="12"/>
                              <w:szCs w:val="12"/>
                            </w:rPr>
                          </w:pPr>
                          <w:r w:rsidDel="00000000" w:rsidR="00000000" w:rsidRPr="00000000">
                            <w:rPr>
                              <w:rFonts w:cs="Calibri"/>
                              <w:noProof w:val="1"/>
                              <w:sz w:val="12"/>
                              <w:szCs w:val="12"/>
                            </w:rPr>
                            <w:drawing>
                              <wp:inline distB="0" distT="0" distL="0" distR="0">
                                <wp:extent cx="504825" cy="189400"/>
                                <wp:effectExtent b="1270" l="0" r="0" t="0"/>
                                <wp:docPr id="2" name="Immagine 2"/>
                                <wp:cNvGraphicFramePr>
                                  <a:graphicFrameLocks noChangeAspect="1"/>
                                </wp:cNvGraphicFramePr>
                                <a:graphic>
                                  <a:graphicData uri="http://schemas.openxmlformats.org/drawingml/2006/picture">
                                    <pic:pic>
                                      <pic:nvPicPr>
                                        <pic:cNvPr id="2" name="immagine_linfa_RID_20.png"/>
                                        <pic:cNvPicPr/>
                                      </pic:nvPicPr>
                                      <pic:blipFill>
                                        <a:blip r:embed="rId1">
                                          <a:extLst>
                                            <a:ext uri="{28A0092B-C50C-407E-A947-70E740481C1C}"/>
                                          </a:extLst>
                                        </a:blip>
                                        <a:stretch>
                                          <a:fillRect/>
                                        </a:stretch>
                                      </pic:blipFill>
                                      <pic:spPr>
                                        <a:xfrm>
                                          <a:off x="0" y="0"/>
                                          <a:ext cx="510470" cy="191518"/>
                                        </a:xfrm>
                                        <a:prstGeom prst="rect">
                                          <a:avLst/>
                                        </a:prstGeom>
                                      </pic:spPr>
                                    </pic:pic>
                                  </a:graphicData>
                                </a:graphic>
                              </wp:inline>
                            </w:drawing>
                          </w:r>
                        </w:p>
                      </w:txbxContent>
                    </wps:txbx>
                    <wps:bodyPr anchorCtr="0" anchor="t" bIns="45720" lIns="91440" rIns="91440" rot="0" vert="horz" wrap="square" tIns="4572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5838825</wp:posOffset>
              </wp:positionH>
              <wp:positionV relativeFrom="paragraph">
                <wp:posOffset>104140</wp:posOffset>
              </wp:positionV>
              <wp:extent cx="784225" cy="265430"/>
              <wp:effectExtent b="0" l="0" r="0" t="0"/>
              <wp:wrapSquare wrapText="bothSides" distB="45720" distT="45720" distL="114300" distR="114300"/>
              <wp:docPr id="218"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784225" cy="26543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2"/>
        <w:szCs w:val="22"/>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99" w:lineRule="auto"/>
      <w:ind w:left="250"/>
    </w:pPr>
    <w:rPr>
      <w:sz w:val="18"/>
      <w:szCs w:val="1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1" w:line="503" w:lineRule="auto"/>
      <w:ind w:left="1179" w:right="560"/>
      <w:jc w:val="center"/>
    </w:pPr>
    <w:rPr>
      <w:rFonts w:ascii="Arial" w:cs="Arial" w:eastAsia="Arial" w:hAnsi="Arial"/>
      <w:b w:val="1"/>
      <w:i w:val="1"/>
      <w:sz w:val="44"/>
      <w:szCs w:val="44"/>
    </w:rPr>
  </w:style>
  <w:style w:type="paragraph" w:styleId="Normale" w:default="1">
    <w:name w:val="Normal"/>
    <w:qFormat w:val="1"/>
    <w:rPr>
      <w:rFonts w:ascii="Microsoft Sans Serif" w:cs="Microsoft Sans Serif" w:eastAsia="Microsoft Sans Serif" w:hAnsi="Microsoft Sans Serif"/>
    </w:rPr>
  </w:style>
  <w:style w:type="paragraph" w:styleId="Titolo1">
    <w:name w:val="heading 1"/>
    <w:basedOn w:val="Normale"/>
    <w:uiPriority w:val="9"/>
    <w:qFormat w:val="1"/>
    <w:pPr>
      <w:spacing w:before="99"/>
      <w:ind w:left="250"/>
      <w:outlineLvl w:val="0"/>
    </w:pPr>
    <w:rPr>
      <w:sz w:val="18"/>
      <w:szCs w:val="18"/>
    </w:rPr>
  </w:style>
  <w:style w:type="paragraph" w:styleId="Titolo2">
    <w:name w:val="heading 2"/>
    <w:basedOn w:val="Normale"/>
    <w:next w:val="Normale"/>
    <w:pPr>
      <w:keepNext w:val="1"/>
      <w:keepLines w:val="1"/>
      <w:spacing w:after="80" w:before="360"/>
      <w:outlineLvl w:val="1"/>
    </w:pPr>
    <w:rPr>
      <w:b w:val="1"/>
      <w:sz w:val="36"/>
      <w:szCs w:val="36"/>
    </w:rPr>
  </w:style>
  <w:style w:type="paragraph" w:styleId="Titolo3">
    <w:name w:val="heading 3"/>
    <w:basedOn w:val="Normale"/>
    <w:next w:val="Normale"/>
    <w:pPr>
      <w:keepNext w:val="1"/>
      <w:keepLines w:val="1"/>
      <w:spacing w:after="80" w:before="280"/>
      <w:outlineLvl w:val="2"/>
    </w:pPr>
    <w:rPr>
      <w:b w:val="1"/>
      <w:sz w:val="28"/>
      <w:szCs w:val="28"/>
    </w:rPr>
  </w:style>
  <w:style w:type="paragraph" w:styleId="Titolo4">
    <w:name w:val="heading 4"/>
    <w:basedOn w:val="Normale"/>
    <w:next w:val="Normale"/>
    <w:pPr>
      <w:keepNext w:val="1"/>
      <w:keepLines w:val="1"/>
      <w:spacing w:after="40" w:before="240"/>
      <w:outlineLvl w:val="3"/>
    </w:pPr>
    <w:rPr>
      <w:b w:val="1"/>
      <w:sz w:val="24"/>
      <w:szCs w:val="24"/>
    </w:rPr>
  </w:style>
  <w:style w:type="paragraph" w:styleId="Titolo5">
    <w:name w:val="heading 5"/>
    <w:basedOn w:val="Normale"/>
    <w:next w:val="Normale"/>
    <w:pPr>
      <w:keepNext w:val="1"/>
      <w:keepLines w:val="1"/>
      <w:spacing w:after="40" w:before="220"/>
      <w:outlineLvl w:val="4"/>
    </w:pPr>
    <w:rPr>
      <w:b w:val="1"/>
    </w:rPr>
  </w:style>
  <w:style w:type="paragraph" w:styleId="Titolo6">
    <w:name w:val="heading 6"/>
    <w:basedOn w:val="Normale"/>
    <w:next w:val="Normale"/>
    <w:pPr>
      <w:keepNext w:val="1"/>
      <w:keepLines w:val="1"/>
      <w:spacing w:after="40" w:before="200"/>
      <w:outlineLvl w:val="5"/>
    </w:pPr>
    <w:rPr>
      <w:b w:val="1"/>
      <w:sz w:val="20"/>
      <w:szCs w:val="20"/>
    </w:rPr>
  </w:style>
  <w:style w:type="character" w:styleId="Carpredefinitoparagrafo" w:default="1">
    <w:name w:val="Default Paragraph Font"/>
    <w:uiPriority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uiPriority w:val="10"/>
    <w:qFormat w:val="1"/>
    <w:pPr>
      <w:spacing w:before="1" w:line="503" w:lineRule="exact"/>
      <w:ind w:left="1179" w:right="560"/>
      <w:jc w:val="center"/>
    </w:pPr>
    <w:rPr>
      <w:rFonts w:ascii="Arial" w:cs="Arial" w:eastAsia="Arial" w:hAnsi="Arial"/>
      <w:b w:val="1"/>
      <w:bCs w:val="1"/>
      <w:i w:val="1"/>
      <w:iCs w:val="1"/>
      <w:sz w:val="44"/>
      <w:szCs w:val="44"/>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Corpotesto">
    <w:name w:val="Body Text"/>
    <w:basedOn w:val="Normale"/>
    <w:uiPriority w:val="1"/>
    <w:qFormat w:val="1"/>
    <w:rPr>
      <w:sz w:val="16"/>
      <w:szCs w:val="16"/>
    </w:rPr>
  </w:style>
  <w:style w:type="paragraph" w:styleId="Paragrafoelenco">
    <w:name w:val="List Paragraph"/>
    <w:basedOn w:val="Normale"/>
    <w:uiPriority w:val="1"/>
    <w:qFormat w:val="1"/>
    <w:pPr>
      <w:spacing w:before="89"/>
      <w:ind w:left="413" w:hanging="164"/>
    </w:pPr>
  </w:style>
  <w:style w:type="paragraph" w:styleId="TableParagraph" w:customStyle="1">
    <w:name w:val="Table Paragraph"/>
    <w:basedOn w:val="Normale"/>
    <w:uiPriority w:val="1"/>
    <w:qFormat w:val="1"/>
  </w:style>
  <w:style w:type="paragraph" w:styleId="Intestazione">
    <w:name w:val="header"/>
    <w:basedOn w:val="Normale"/>
    <w:link w:val="IntestazioneCarattere"/>
    <w:uiPriority w:val="99"/>
    <w:unhideWhenUsed w:val="1"/>
    <w:rsid w:val="004A1F95"/>
    <w:pPr>
      <w:tabs>
        <w:tab w:val="center" w:pos="4819"/>
        <w:tab w:val="right" w:pos="9638"/>
      </w:tabs>
    </w:pPr>
  </w:style>
  <w:style w:type="character" w:styleId="IntestazioneCarattere" w:customStyle="1">
    <w:name w:val="Intestazione Carattere"/>
    <w:basedOn w:val="Carpredefinitoparagrafo"/>
    <w:link w:val="Intestazione"/>
    <w:uiPriority w:val="99"/>
    <w:rsid w:val="004A1F95"/>
    <w:rPr>
      <w:rFonts w:ascii="Microsoft Sans Serif" w:cs="Microsoft Sans Serif" w:eastAsia="Microsoft Sans Serif" w:hAnsi="Microsoft Sans Serif"/>
      <w:lang w:val="it-IT"/>
    </w:rPr>
  </w:style>
  <w:style w:type="paragraph" w:styleId="Pidipagina">
    <w:name w:val="footer"/>
    <w:basedOn w:val="Normale"/>
    <w:link w:val="PidipaginaCarattere"/>
    <w:uiPriority w:val="99"/>
    <w:unhideWhenUsed w:val="1"/>
    <w:rsid w:val="004A1F95"/>
    <w:pPr>
      <w:tabs>
        <w:tab w:val="center" w:pos="4819"/>
        <w:tab w:val="right" w:pos="9638"/>
      </w:tabs>
    </w:pPr>
  </w:style>
  <w:style w:type="character" w:styleId="PidipaginaCarattere" w:customStyle="1">
    <w:name w:val="Piè di pagina Carattere"/>
    <w:basedOn w:val="Carpredefinitoparagrafo"/>
    <w:link w:val="Pidipagina"/>
    <w:uiPriority w:val="99"/>
    <w:rsid w:val="004A1F95"/>
    <w:rPr>
      <w:rFonts w:ascii="Microsoft Sans Serif" w:cs="Microsoft Sans Serif" w:eastAsia="Microsoft Sans Serif" w:hAnsi="Microsoft Sans Serif"/>
      <w:lang w:val="it-IT"/>
    </w:rPr>
  </w:style>
  <w:style w:type="table" w:styleId="Grigliatabella">
    <w:name w:val="Table Grid"/>
    <w:basedOn w:val="Tabellanormale"/>
    <w:uiPriority w:val="59"/>
    <w:rsid w:val="002E5894"/>
    <w:pPr>
      <w:widowControl w:val="1"/>
    </w:pPr>
    <w:rPr>
      <w:rFonts w:ascii="Arial" w:cs="Arial" w:eastAsia="Arial" w:hAnsi="Arial"/>
      <w:lang w:val="it"/>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stofumetto">
    <w:name w:val="Balloon Text"/>
    <w:basedOn w:val="Normale"/>
    <w:link w:val="TestofumettoCarattere"/>
    <w:uiPriority w:val="99"/>
    <w:semiHidden w:val="1"/>
    <w:unhideWhenUsed w:val="1"/>
    <w:rsid w:val="00A16840"/>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A16840"/>
    <w:rPr>
      <w:rFonts w:ascii="Tahoma" w:cs="Tahoma" w:eastAsia="Microsoft Sans Serif" w:hAnsi="Tahoma"/>
      <w:sz w:val="16"/>
      <w:szCs w:val="16"/>
      <w:lang w:val="it-IT"/>
    </w:rPr>
  </w:style>
  <w:style w:type="paragraph" w:styleId="Sottotitolo">
    <w:name w:val="Subtitle"/>
    <w:basedOn w:val="Normale"/>
    <w:next w:val="Normale"/>
    <w:pPr>
      <w:keepNext w:val="1"/>
      <w:keepLines w:val="1"/>
      <w:spacing w:after="80" w:before="360"/>
    </w:pPr>
    <w:rPr>
      <w:rFonts w:ascii="Georgia" w:cs="Georgia" w:eastAsia="Georgia" w:hAnsi="Georgia"/>
      <w:i w:val="1"/>
      <w:color w:val="666666"/>
      <w:sz w:val="48"/>
      <w:szCs w:val="48"/>
    </w:rPr>
  </w:style>
  <w:style w:type="table" w:styleId="a" w:customStyle="1">
    <w:basedOn w:val="TableNormal2"/>
    <w:pPr>
      <w:widowControl w:val="1"/>
    </w:pPr>
    <w:rPr>
      <w:rFonts w:ascii="Arial" w:cs="Arial" w:eastAsia="Arial" w:hAnsi="Arial"/>
    </w:rPr>
    <w:tblPr>
      <w:tblStyleRowBandSize w:val="1"/>
      <w:tblStyleColBandSize w:val="1"/>
      <w:tblCellMar>
        <w:left w:w="108.0" w:type="dxa"/>
        <w:right w:w="108.0" w:type="dxa"/>
      </w:tblCellMar>
    </w:tblPr>
  </w:style>
  <w:style w:type="table" w:styleId="a0" w:customStyle="1">
    <w:basedOn w:val="TableNormal2"/>
    <w:pPr>
      <w:widowControl w:val="1"/>
    </w:pPr>
    <w:rPr>
      <w:rFonts w:ascii="Arial" w:cs="Arial" w:eastAsia="Arial" w:hAnsi="Arial"/>
    </w:rPr>
    <w:tblPr>
      <w:tblStyleRowBandSize w:val="1"/>
      <w:tblStyleColBandSize w:val="1"/>
      <w:tblCellMar>
        <w:left w:w="108.0" w:type="dxa"/>
        <w:right w:w="108.0" w:type="dxa"/>
      </w:tblCellMar>
    </w:tblPr>
  </w:style>
  <w:style w:type="table" w:styleId="a1" w:customStyle="1">
    <w:basedOn w:val="TableNormal1"/>
    <w:pPr>
      <w:widowControl w:val="1"/>
    </w:pPr>
    <w:rPr>
      <w:rFonts w:ascii="Arial" w:cs="Arial" w:eastAsia="Arial" w:hAnsi="Arial"/>
    </w:rPr>
    <w:tblPr>
      <w:tblStyleRowBandSize w:val="1"/>
      <w:tblStyleColBandSize w:val="1"/>
      <w:tblCellMar>
        <w:left w:w="108.0" w:type="dxa"/>
        <w:right w:w="108.0" w:type="dxa"/>
      </w:tblCellMar>
    </w:tblPr>
  </w:style>
  <w:style w:type="table" w:styleId="a2" w:customStyle="1">
    <w:basedOn w:val="TableNormal1"/>
    <w:pPr>
      <w:widowControl w:val="1"/>
    </w:pPr>
    <w:rPr>
      <w:rFonts w:ascii="Arial" w:cs="Arial" w:eastAsia="Arial" w:hAnsi="Arial"/>
    </w:rPr>
    <w:tblPr>
      <w:tblStyleRowBandSize w:val="1"/>
      <w:tblStyleColBandSize w:val="1"/>
      <w:tblCellMar>
        <w:left w:w="108.0" w:type="dxa"/>
        <w:right w:w="108.0" w:type="dxa"/>
      </w:tblCellMar>
    </w:tblPr>
  </w:style>
  <w:style w:type="table" w:styleId="a3" w:customStyle="1">
    <w:basedOn w:val="TableNormal1"/>
    <w:tblPr>
      <w:tblStyleRowBandSize w:val="1"/>
      <w:tblStyleColBandSize w:val="1"/>
      <w:tblCellMar>
        <w:left w:w="115.0" w:type="dxa"/>
        <w:right w:w="115.0" w:type="dxa"/>
      </w:tblCellMar>
    </w:tblPr>
  </w:style>
  <w:style w:type="table" w:styleId="a4" w:customStyle="1">
    <w:basedOn w:val="TableNormal1"/>
    <w:tblPr>
      <w:tblStyleRowBandSize w:val="1"/>
      <w:tblStyleColBandSize w:val="1"/>
      <w:tblCellMar>
        <w:left w:w="115.0" w:type="dxa"/>
        <w:right w:w="115.0" w:type="dxa"/>
      </w:tblCellMar>
    </w:tblPr>
  </w:style>
  <w:style w:type="table" w:styleId="a5" w:customStyle="1">
    <w:basedOn w:val="TableNormal0"/>
    <w:pPr>
      <w:widowControl w:val="1"/>
    </w:pPr>
    <w:rPr>
      <w:rFonts w:ascii="Arial" w:cs="Arial" w:eastAsia="Arial" w:hAnsi="Arial"/>
    </w:rPr>
    <w:tblPr>
      <w:tblStyleRowBandSize w:val="1"/>
      <w:tblStyleColBandSize w:val="1"/>
      <w:tblCellMar>
        <w:left w:w="115.0" w:type="dxa"/>
        <w:right w:w="115.0" w:type="dxa"/>
      </w:tblCellMar>
    </w:tblPr>
  </w:style>
  <w:style w:type="table" w:styleId="a6" w:customStyle="1">
    <w:basedOn w:val="TableNormal0"/>
    <w:pPr>
      <w:widowControl w:val="1"/>
    </w:pPr>
    <w:rPr>
      <w:rFonts w:ascii="Arial" w:cs="Arial" w:eastAsia="Arial" w:hAnsi="Arial"/>
    </w:rPr>
    <w:tblPr>
      <w:tblStyleRowBandSize w:val="1"/>
      <w:tblStyleColBandSize w:val="1"/>
      <w:tblCellMar>
        <w:left w:w="115.0" w:type="dxa"/>
        <w:right w:w="115.0" w:type="dxa"/>
      </w:tblCellMar>
    </w:tblPr>
  </w:style>
  <w:style w:type="table" w:styleId="a7" w:customStyle="1">
    <w:basedOn w:val="TableNormal0"/>
    <w:pPr>
      <w:widowControl w:val="1"/>
    </w:pPr>
    <w:rPr>
      <w:rFonts w:ascii="Arial" w:cs="Arial" w:eastAsia="Arial" w:hAnsi="Arial"/>
    </w:rPr>
    <w:tblPr>
      <w:tblStyleRowBandSize w:val="1"/>
      <w:tblStyleColBandSize w:val="1"/>
      <w:tblCellMar>
        <w:left w:w="115.0" w:type="dxa"/>
        <w:right w:w="115.0" w:type="dxa"/>
      </w:tblCellMar>
    </w:tblPr>
  </w:style>
  <w:style w:type="table" w:styleId="a8" w:customStyle="1">
    <w:basedOn w:val="TableNormal0"/>
    <w:pPr>
      <w:widowControl w:val="1"/>
    </w:pPr>
    <w:rPr>
      <w:rFonts w:ascii="Arial" w:cs="Arial" w:eastAsia="Arial" w:hAnsi="Arial"/>
    </w:rPr>
    <w:tblPr>
      <w:tblStyleRowBandSize w:val="1"/>
      <w:tblStyleColBandSize w:val="1"/>
      <w:tblCellMar>
        <w:left w:w="115.0" w:type="dxa"/>
        <w:right w:w="115.0" w:type="dxa"/>
      </w:tblCellMar>
    </w:tblPr>
  </w:style>
  <w:style w:type="character" w:styleId="Collegamentoipertestuale">
    <w:name w:val="Hyperlink"/>
    <w:basedOn w:val="Carpredefinitoparagrafo"/>
    <w:uiPriority w:val="99"/>
    <w:unhideWhenUsed w:val="1"/>
    <w:rsid w:val="007A58E6"/>
    <w:rPr>
      <w:color w:val="0000ff" w:themeColor="hyperlink"/>
      <w:u w:val="single"/>
    </w:rPr>
  </w:style>
  <w:style w:type="character" w:styleId="UnresolvedMention" w:customStyle="1">
    <w:name w:val="Unresolved Mention"/>
    <w:basedOn w:val="Carpredefinitoparagrafo"/>
    <w:uiPriority w:val="99"/>
    <w:semiHidden w:val="1"/>
    <w:unhideWhenUsed w:val="1"/>
    <w:rsid w:val="007A58E6"/>
    <w:rPr>
      <w:color w:val="605e5c"/>
      <w:shd w:color="auto" w:fill="e1dfdd" w:val="clear"/>
    </w:rPr>
  </w:style>
  <w:style w:type="character" w:styleId="Rimandocommento">
    <w:name w:val="annotation reference"/>
    <w:basedOn w:val="Carpredefinitoparagrafo"/>
    <w:uiPriority w:val="99"/>
    <w:semiHidden w:val="1"/>
    <w:unhideWhenUsed w:val="1"/>
    <w:rsid w:val="005D638D"/>
    <w:rPr>
      <w:sz w:val="16"/>
      <w:szCs w:val="16"/>
    </w:rPr>
  </w:style>
  <w:style w:type="paragraph" w:styleId="Testocommento">
    <w:name w:val="annotation text"/>
    <w:basedOn w:val="Normale"/>
    <w:link w:val="TestocommentoCarattere"/>
    <w:uiPriority w:val="99"/>
    <w:semiHidden w:val="1"/>
    <w:unhideWhenUsed w:val="1"/>
    <w:rsid w:val="005D638D"/>
    <w:rPr>
      <w:sz w:val="20"/>
      <w:szCs w:val="20"/>
    </w:rPr>
  </w:style>
  <w:style w:type="character" w:styleId="TestocommentoCarattere" w:customStyle="1">
    <w:name w:val="Testo commento Carattere"/>
    <w:basedOn w:val="Carpredefinitoparagrafo"/>
    <w:link w:val="Testocommento"/>
    <w:uiPriority w:val="99"/>
    <w:semiHidden w:val="1"/>
    <w:rsid w:val="005D638D"/>
    <w:rPr>
      <w:rFonts w:ascii="Microsoft Sans Serif" w:cs="Microsoft Sans Serif" w:eastAsia="Microsoft Sans Serif" w:hAnsi="Microsoft Sans Serif"/>
      <w:sz w:val="20"/>
      <w:szCs w:val="20"/>
    </w:rPr>
  </w:style>
  <w:style w:type="paragraph" w:styleId="Soggettocommento">
    <w:name w:val="annotation subject"/>
    <w:basedOn w:val="Testocommento"/>
    <w:next w:val="Testocommento"/>
    <w:link w:val="SoggettocommentoCarattere"/>
    <w:uiPriority w:val="99"/>
    <w:semiHidden w:val="1"/>
    <w:unhideWhenUsed w:val="1"/>
    <w:rsid w:val="005D638D"/>
    <w:rPr>
      <w:b w:val="1"/>
      <w:bCs w:val="1"/>
    </w:rPr>
  </w:style>
  <w:style w:type="character" w:styleId="SoggettocommentoCarattere" w:customStyle="1">
    <w:name w:val="Soggetto commento Carattere"/>
    <w:basedOn w:val="TestocommentoCarattere"/>
    <w:link w:val="Soggettocommento"/>
    <w:uiPriority w:val="99"/>
    <w:semiHidden w:val="1"/>
    <w:rsid w:val="005D638D"/>
    <w:rPr>
      <w:rFonts w:ascii="Microsoft Sans Serif" w:cs="Microsoft Sans Serif" w:eastAsia="Microsoft Sans Serif" w:hAnsi="Microsoft Sans Serif"/>
      <w:b w:val="1"/>
      <w:bCs w:val="1"/>
      <w:sz w:val="20"/>
      <w:szCs w:val="20"/>
    </w:rPr>
  </w:style>
  <w:style w:type="table" w:styleId="Grigliatabella1" w:customStyle="1">
    <w:name w:val="Griglia tabella1"/>
    <w:basedOn w:val="Tabellanormale"/>
    <w:next w:val="Grigliatabella"/>
    <w:uiPriority w:val="39"/>
    <w:rsid w:val="005C1D36"/>
    <w:pPr>
      <w:widowControl w:val="1"/>
    </w:pPr>
    <w:rPr>
      <w:rFonts w:ascii="Calibri" w:cs="Times New Roman" w:eastAsia="Calibri" w:hAnsi="Calibri"/>
      <w:lang w:eastAsia="en-US"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1"/>
    </w:pPr>
    <w:rPr>
      <w:rFonts w:ascii="Calibri" w:cs="Calibri" w:eastAsia="Calibri" w:hAnsi="Calibri"/>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yperlink" Target="mailto:linfa@pec.marche.camcom.it" TargetMode="External"/><Relationship Id="rId10" Type="http://schemas.openxmlformats.org/officeDocument/2006/relationships/hyperlink" Target="mailto:dpo.linfa@linfaaziendaspeciale.it" TargetMode="External"/><Relationship Id="rId13" Type="http://schemas.openxmlformats.org/officeDocument/2006/relationships/header" Target="header1.xml"/><Relationship Id="rId12" Type="http://schemas.openxmlformats.org/officeDocument/2006/relationships/hyperlink" Target="mailto:giocondo.recchi@marche.camcom.it" TargetMode="External"/><Relationship Id="rId9" Type="http://schemas.openxmlformats.org/officeDocument/2006/relationships/hyperlink" Target="mailto:linfa@pec.marche.camcom.it"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linfa@marche.camcom.it"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HelveticaNeue-regular.ttf"/><Relationship Id="rId3" Type="http://schemas.openxmlformats.org/officeDocument/2006/relationships/font" Target="fonts/HelveticaNeue-bold.ttf"/><Relationship Id="rId4" Type="http://schemas.openxmlformats.org/officeDocument/2006/relationships/font" Target="fonts/HelveticaNeue-italic.ttf"/><Relationship Id="rId5"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5.png"/><Relationship Id="rId3" Type="http://schemas.openxmlformats.org/officeDocument/2006/relationships/image" Target="media/image4.png"/><Relationship Id="rId4" Type="http://schemas.openxmlformats.org/officeDocument/2006/relationships/image" Target="media/image3.png"/><Relationship Id="rId5"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US9YJLQS2aX7ktqwNuVCQ3ISaw==">CgMxLjAyCWguMWZvYjl0ZTIJaC4zem55c2g3OAByITFoNzVhSXkwckMzeFhmLXU5NW5kSGNmSmE5ZkRyM3Y3MA==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2022-12-05T13:38:00Z</dcterms:created>
  <dc:creator>Valentina Giuliodori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2022-02-03T00:00:00Z</vt:filetime>
  </property>
  <property fmtid="{D5CDD505-2E9C-101B-9397-08002B2CF9AE}" pid="3" name="Creator">
    <vt:lpwstr>Microsoft® Word 2016</vt:lpwstr>
  </property>
  <property fmtid="{D5CDD505-2E9C-101B-9397-08002B2CF9AE}" pid="4" name="LastSaved">
    <vt:filetime>2022-02-03T00:00:00Z</vt:filetime>
  </property>
</Properties>
</file>